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DD" w:rsidRPr="005B2FDD" w:rsidRDefault="005B2FDD" w:rsidP="005B2FDD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5B2FDD">
        <w:rPr>
          <w:rFonts w:ascii="Times New Roman" w:hAnsi="Times New Roman" w:cs="Times New Roman"/>
          <w:b/>
        </w:rPr>
        <w:t>Отчет</w:t>
      </w:r>
    </w:p>
    <w:p w:rsidR="005B2FDD" w:rsidRDefault="00AB3EC5" w:rsidP="00AB3EC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</w:t>
      </w:r>
      <w:r w:rsidRPr="007D113F">
        <w:rPr>
          <w:rFonts w:ascii="Times New Roman" w:hAnsi="Times New Roman" w:cs="Times New Roman"/>
        </w:rPr>
        <w:t xml:space="preserve">Стратегии </w:t>
      </w:r>
      <w:r w:rsidRPr="007D113F">
        <w:rPr>
          <w:rFonts w:ascii="Times New Roman" w:hAnsi="Times New Roman" w:cs="Times New Roman"/>
        </w:rPr>
        <w:br/>
        <w:t xml:space="preserve">социально-экономического развития </w:t>
      </w:r>
      <w:r w:rsidRPr="007D113F">
        <w:rPr>
          <w:rFonts w:ascii="Times New Roman" w:hAnsi="Times New Roman" w:cs="Times New Roman"/>
        </w:rPr>
        <w:br/>
        <w:t xml:space="preserve">сельского поселения </w:t>
      </w:r>
      <w:r w:rsidR="007F20A3">
        <w:rPr>
          <w:rFonts w:ascii="Times New Roman" w:hAnsi="Times New Roman" w:cs="Times New Roman"/>
        </w:rPr>
        <w:t xml:space="preserve"> Грачев</w:t>
      </w:r>
      <w:r>
        <w:rPr>
          <w:rFonts w:ascii="Times New Roman" w:hAnsi="Times New Roman" w:cs="Times New Roman"/>
        </w:rPr>
        <w:t>ский</w:t>
      </w:r>
      <w:r w:rsidR="00050513">
        <w:rPr>
          <w:rFonts w:ascii="Times New Roman" w:hAnsi="Times New Roman" w:cs="Times New Roman"/>
        </w:rPr>
        <w:t xml:space="preserve"> </w:t>
      </w:r>
      <w:r w:rsidRPr="007D113F">
        <w:rPr>
          <w:rFonts w:ascii="Times New Roman" w:hAnsi="Times New Roman" w:cs="Times New Roman"/>
        </w:rPr>
        <w:t xml:space="preserve">сельсовет </w:t>
      </w:r>
      <w:r w:rsidRPr="007D113F">
        <w:rPr>
          <w:rFonts w:ascii="Times New Roman" w:hAnsi="Times New Roman" w:cs="Times New Roman"/>
        </w:rPr>
        <w:br/>
        <w:t>Усманского  муниципального района до 202</w:t>
      </w:r>
      <w:r w:rsidR="000D65BF">
        <w:rPr>
          <w:rFonts w:ascii="Times New Roman" w:hAnsi="Times New Roman" w:cs="Times New Roman"/>
        </w:rPr>
        <w:t>4</w:t>
      </w:r>
      <w:r w:rsidRPr="007D113F">
        <w:rPr>
          <w:rFonts w:ascii="Times New Roman" w:hAnsi="Times New Roman" w:cs="Times New Roman"/>
        </w:rPr>
        <w:t xml:space="preserve"> года</w:t>
      </w:r>
      <w:r w:rsidR="00371A28">
        <w:rPr>
          <w:rFonts w:ascii="Times New Roman" w:hAnsi="Times New Roman" w:cs="Times New Roman"/>
        </w:rPr>
        <w:t xml:space="preserve"> за 20</w:t>
      </w:r>
      <w:r w:rsidR="00371A28" w:rsidRPr="00371A28">
        <w:rPr>
          <w:rFonts w:ascii="Times New Roman" w:hAnsi="Times New Roman" w:cs="Times New Roman"/>
        </w:rPr>
        <w:t>20</w:t>
      </w:r>
      <w:r w:rsidR="00F55263">
        <w:rPr>
          <w:rFonts w:ascii="Times New Roman" w:hAnsi="Times New Roman" w:cs="Times New Roman"/>
        </w:rPr>
        <w:t xml:space="preserve"> год.</w:t>
      </w:r>
    </w:p>
    <w:p w:rsidR="005B2FDD" w:rsidRPr="007D113F" w:rsidRDefault="005B2FDD" w:rsidP="005B2FDD">
      <w:pPr>
        <w:rPr>
          <w:rFonts w:ascii="Times New Roman" w:hAnsi="Times New Roman" w:cs="Times New Roman"/>
        </w:rPr>
      </w:pP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На основе проведенного анализа социально-экономического раз</w:t>
      </w:r>
      <w:r w:rsidR="007F20A3">
        <w:rPr>
          <w:rFonts w:ascii="Times New Roman" w:hAnsi="Times New Roman" w:cs="Times New Roman"/>
        </w:rPr>
        <w:t xml:space="preserve">вития и проблемной диагностики </w:t>
      </w:r>
      <w:r w:rsidRPr="007D113F">
        <w:rPr>
          <w:rFonts w:ascii="Times New Roman" w:hAnsi="Times New Roman" w:cs="Times New Roman"/>
        </w:rPr>
        <w:t>поселения</w:t>
      </w:r>
      <w:r w:rsidR="007F20A3">
        <w:rPr>
          <w:rFonts w:ascii="Times New Roman" w:hAnsi="Times New Roman" w:cs="Times New Roman"/>
        </w:rPr>
        <w:t xml:space="preserve"> </w:t>
      </w:r>
      <w:r w:rsidRPr="007D113F">
        <w:rPr>
          <w:rFonts w:ascii="Times New Roman" w:hAnsi="Times New Roman" w:cs="Times New Roman"/>
        </w:rPr>
        <w:t xml:space="preserve">была сформулирована стратегическая цель социально-экономического развития </w:t>
      </w:r>
      <w:r w:rsidR="007F20A3">
        <w:rPr>
          <w:rFonts w:ascii="Times New Roman" w:hAnsi="Times New Roman" w:cs="Times New Roman"/>
        </w:rPr>
        <w:t xml:space="preserve"> поселения</w:t>
      </w:r>
      <w:r w:rsidR="005B2FDD">
        <w:rPr>
          <w:rFonts w:ascii="Times New Roman" w:hAnsi="Times New Roman" w:cs="Times New Roman"/>
        </w:rPr>
        <w:t>.</w:t>
      </w:r>
    </w:p>
    <w:p w:rsidR="00EF1DBC" w:rsidRPr="007D113F" w:rsidRDefault="005B2FDD" w:rsidP="00EF1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</w:t>
      </w:r>
      <w:r w:rsidR="00EF1DBC" w:rsidRPr="007D113F">
        <w:rPr>
          <w:rFonts w:ascii="Times New Roman" w:hAnsi="Times New Roman" w:cs="Times New Roman"/>
        </w:rPr>
        <w:t>сельского поселения</w:t>
      </w:r>
      <w:r w:rsidR="007F20A3">
        <w:rPr>
          <w:rFonts w:ascii="Times New Roman" w:hAnsi="Times New Roman" w:cs="Times New Roman"/>
        </w:rPr>
        <w:t xml:space="preserve"> Грачев</w:t>
      </w:r>
      <w:r w:rsidR="00EF1DBC">
        <w:rPr>
          <w:rFonts w:ascii="Times New Roman" w:hAnsi="Times New Roman" w:cs="Times New Roman"/>
        </w:rPr>
        <w:t>ск</w:t>
      </w:r>
      <w:r w:rsidR="007F20A3">
        <w:rPr>
          <w:rFonts w:ascii="Times New Roman" w:hAnsi="Times New Roman" w:cs="Times New Roman"/>
        </w:rPr>
        <w:t xml:space="preserve">ий </w:t>
      </w:r>
      <w:r w:rsidR="00EF1DBC">
        <w:rPr>
          <w:rFonts w:ascii="Times New Roman" w:hAnsi="Times New Roman" w:cs="Times New Roman"/>
        </w:rPr>
        <w:t xml:space="preserve">сельсовет </w:t>
      </w:r>
      <w:r w:rsidR="00371A28">
        <w:rPr>
          <w:rFonts w:ascii="Times New Roman" w:hAnsi="Times New Roman" w:cs="Times New Roman"/>
        </w:rPr>
        <w:t xml:space="preserve"> в 20</w:t>
      </w:r>
      <w:r w:rsidR="00371A28" w:rsidRPr="00371A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 </w:t>
      </w:r>
      <w:r w:rsidR="00EF1DBC">
        <w:rPr>
          <w:rFonts w:ascii="Times New Roman" w:hAnsi="Times New Roman" w:cs="Times New Roman"/>
        </w:rPr>
        <w:t xml:space="preserve">- это </w:t>
      </w:r>
      <w:r>
        <w:rPr>
          <w:rFonts w:ascii="Times New Roman" w:hAnsi="Times New Roman" w:cs="Times New Roman"/>
        </w:rPr>
        <w:t xml:space="preserve">сбалансированное </w:t>
      </w:r>
      <w:r w:rsidR="00EF1DBC">
        <w:rPr>
          <w:rFonts w:ascii="Times New Roman" w:hAnsi="Times New Roman" w:cs="Times New Roman"/>
        </w:rPr>
        <w:t xml:space="preserve"> развития </w:t>
      </w:r>
      <w:r w:rsidR="00EF1DBC" w:rsidRPr="007D113F">
        <w:rPr>
          <w:rFonts w:ascii="Times New Roman" w:hAnsi="Times New Roman" w:cs="Times New Roman"/>
        </w:rPr>
        <w:t xml:space="preserve"> экономики</w:t>
      </w:r>
      <w:r w:rsidR="00EF1DBC">
        <w:rPr>
          <w:rFonts w:ascii="Times New Roman" w:hAnsi="Times New Roman" w:cs="Times New Roman"/>
        </w:rPr>
        <w:t xml:space="preserve"> и социальной сферы</w:t>
      </w:r>
      <w:r w:rsidR="00EF1DBC" w:rsidRPr="007D113F">
        <w:rPr>
          <w:rFonts w:ascii="Times New Roman" w:hAnsi="Times New Roman" w:cs="Times New Roman"/>
        </w:rPr>
        <w:t>, в котором выгодно работать и комфортно жить.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</w:t>
      </w:r>
      <w:r>
        <w:rPr>
          <w:rFonts w:ascii="Times New Roman" w:hAnsi="Times New Roman" w:cs="Times New Roman"/>
        </w:rPr>
        <w:t>)</w:t>
      </w:r>
      <w:r w:rsidRPr="007D113F">
        <w:rPr>
          <w:rFonts w:ascii="Times New Roman" w:hAnsi="Times New Roman" w:cs="Times New Roman"/>
        </w:rPr>
        <w:t>.</w:t>
      </w:r>
    </w:p>
    <w:p w:rsidR="005B2FDD" w:rsidRPr="007D113F" w:rsidRDefault="00EF1DBC" w:rsidP="007F20A3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  <w:r w:rsidR="007F20A3">
        <w:rPr>
          <w:rFonts w:ascii="Times New Roman" w:hAnsi="Times New Roman" w:cs="Times New Roman"/>
        </w:rPr>
        <w:t xml:space="preserve"> в</w:t>
      </w:r>
      <w:r w:rsidR="00371A28">
        <w:rPr>
          <w:rFonts w:ascii="Times New Roman" w:hAnsi="Times New Roman" w:cs="Times New Roman"/>
        </w:rPr>
        <w:t xml:space="preserve"> 20</w:t>
      </w:r>
      <w:r w:rsidR="00371A28" w:rsidRPr="00371A28">
        <w:rPr>
          <w:rFonts w:ascii="Times New Roman" w:hAnsi="Times New Roman" w:cs="Times New Roman"/>
        </w:rPr>
        <w:t>20</w:t>
      </w:r>
      <w:r w:rsidR="005B2FDD">
        <w:rPr>
          <w:rFonts w:ascii="Times New Roman" w:hAnsi="Times New Roman" w:cs="Times New Roman"/>
        </w:rPr>
        <w:t xml:space="preserve"> году</w:t>
      </w:r>
      <w:r w:rsidR="007F20A3">
        <w:rPr>
          <w:rFonts w:ascii="Times New Roman" w:hAnsi="Times New Roman" w:cs="Times New Roman"/>
        </w:rPr>
        <w:t>.</w:t>
      </w:r>
      <w:r w:rsidR="005B2FDD">
        <w:rPr>
          <w:rFonts w:ascii="Times New Roman" w:hAnsi="Times New Roman" w:cs="Times New Roman"/>
        </w:rPr>
        <w:t xml:space="preserve">  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0" w:name="sub_410"/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</w:t>
      </w:r>
      <w:r>
        <w:rPr>
          <w:rFonts w:ascii="Times New Roman" w:hAnsi="Times New Roman" w:cs="Times New Roman"/>
        </w:rPr>
        <w:t xml:space="preserve">, что приведет к </w:t>
      </w:r>
      <w:r w:rsidRPr="007D113F">
        <w:rPr>
          <w:rFonts w:ascii="Times New Roman" w:hAnsi="Times New Roman" w:cs="Times New Roman"/>
        </w:rPr>
        <w:t>повышени</w:t>
      </w:r>
      <w:r>
        <w:rPr>
          <w:rFonts w:ascii="Times New Roman" w:hAnsi="Times New Roman" w:cs="Times New Roman"/>
        </w:rPr>
        <w:t>ю</w:t>
      </w:r>
      <w:r w:rsidRPr="007D113F">
        <w:rPr>
          <w:rFonts w:ascii="Times New Roman" w:hAnsi="Times New Roman" w:cs="Times New Roman"/>
        </w:rPr>
        <w:t xml:space="preserve"> конкурентоспособности</w:t>
      </w:r>
      <w:r>
        <w:rPr>
          <w:rFonts w:ascii="Times New Roman" w:hAnsi="Times New Roman" w:cs="Times New Roman"/>
        </w:rPr>
        <w:t xml:space="preserve"> населения</w:t>
      </w:r>
      <w:r w:rsidRPr="007D113F">
        <w:rPr>
          <w:rFonts w:ascii="Times New Roman" w:hAnsi="Times New Roman" w:cs="Times New Roman"/>
        </w:rPr>
        <w:t>.</w:t>
      </w:r>
      <w:r w:rsidR="005B2FDD">
        <w:rPr>
          <w:rFonts w:ascii="Times New Roman" w:hAnsi="Times New Roman" w:cs="Times New Roman"/>
        </w:rPr>
        <w:t xml:space="preserve"> В </w:t>
      </w:r>
      <w:r w:rsidR="00371A28">
        <w:rPr>
          <w:rFonts w:ascii="Times New Roman" w:hAnsi="Times New Roman" w:cs="Times New Roman"/>
        </w:rPr>
        <w:t>20</w:t>
      </w:r>
      <w:r w:rsidR="00371A28" w:rsidRPr="00FE6B6F">
        <w:rPr>
          <w:rFonts w:ascii="Times New Roman" w:hAnsi="Times New Roman" w:cs="Times New Roman"/>
        </w:rPr>
        <w:t>20</w:t>
      </w:r>
      <w:r w:rsidR="00050513">
        <w:rPr>
          <w:rFonts w:ascii="Times New Roman" w:hAnsi="Times New Roman" w:cs="Times New Roman"/>
        </w:rPr>
        <w:t xml:space="preserve"> году эффективно работает</w:t>
      </w:r>
      <w:r w:rsidR="002146A0">
        <w:rPr>
          <w:rFonts w:ascii="Times New Roman" w:hAnsi="Times New Roman" w:cs="Times New Roman"/>
        </w:rPr>
        <w:t xml:space="preserve"> АО «Грачевское</w:t>
      </w:r>
      <w:r w:rsidR="00050513">
        <w:rPr>
          <w:rFonts w:ascii="Times New Roman" w:hAnsi="Times New Roman" w:cs="Times New Roman"/>
        </w:rPr>
        <w:t>», ИП «Черных».</w:t>
      </w:r>
      <w:r w:rsidR="005B2FDD">
        <w:rPr>
          <w:rFonts w:ascii="Times New Roman" w:hAnsi="Times New Roman" w:cs="Times New Roman"/>
        </w:rPr>
        <w:t xml:space="preserve">  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Механизм реализации Стратеги</w:t>
      </w:r>
      <w:r>
        <w:rPr>
          <w:rFonts w:ascii="Times New Roman" w:hAnsi="Times New Roman" w:cs="Times New Roman"/>
        </w:rPr>
        <w:t>ческого плана</w:t>
      </w:r>
      <w:r w:rsidRPr="007D113F">
        <w:rPr>
          <w:rFonts w:ascii="Times New Roman" w:hAnsi="Times New Roman" w:cs="Times New Roman"/>
        </w:rPr>
        <w:t xml:space="preserve"> основывается на принципах согласования интересов всех участников </w:t>
      </w:r>
      <w:proofErr w:type="gramStart"/>
      <w:r w:rsidRPr="007D113F">
        <w:rPr>
          <w:rFonts w:ascii="Times New Roman" w:hAnsi="Times New Roman" w:cs="Times New Roman"/>
        </w:rPr>
        <w:t>экономического процесса</w:t>
      </w:r>
      <w:proofErr w:type="gramEnd"/>
      <w:r w:rsidRPr="007D113F"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</w:p>
    <w:p w:rsidR="00EF1DBC" w:rsidRPr="007D113F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>Поставлен</w:t>
      </w:r>
      <w:r>
        <w:rPr>
          <w:rFonts w:ascii="Times New Roman" w:hAnsi="Times New Roman" w:cs="Times New Roman"/>
        </w:rPr>
        <w:t xml:space="preserve">ные задачи </w:t>
      </w:r>
      <w:r w:rsidR="00AB3EC5">
        <w:rPr>
          <w:rFonts w:ascii="Times New Roman" w:hAnsi="Times New Roman" w:cs="Times New Roman"/>
        </w:rPr>
        <w:t xml:space="preserve"> решаются  по  следующим  направлениям</w:t>
      </w:r>
      <w:r w:rsidRPr="007D113F">
        <w:rPr>
          <w:rFonts w:ascii="Times New Roman" w:hAnsi="Times New Roman" w:cs="Times New Roman"/>
        </w:rPr>
        <w:t>:</w:t>
      </w:r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2" w:name="sub_4201"/>
      <w:r w:rsidRPr="007D113F"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2"/>
    </w:p>
    <w:p w:rsidR="00EF1DBC" w:rsidRPr="007D113F" w:rsidRDefault="00EF1DBC" w:rsidP="00EF1DBC">
      <w:pPr>
        <w:rPr>
          <w:rFonts w:ascii="Times New Roman" w:hAnsi="Times New Roman" w:cs="Times New Roman"/>
        </w:rPr>
      </w:pPr>
      <w:bookmarkStart w:id="3" w:name="sub_4202"/>
      <w:r>
        <w:rPr>
          <w:rFonts w:ascii="Times New Roman" w:hAnsi="Times New Roman" w:cs="Times New Roman"/>
        </w:rPr>
        <w:t xml:space="preserve">2. Наращение </w:t>
      </w:r>
      <w:r w:rsidRPr="007D113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роизводственных </w:t>
      </w:r>
      <w:r w:rsidRPr="007D113F">
        <w:rPr>
          <w:rFonts w:ascii="Times New Roman" w:hAnsi="Times New Roman" w:cs="Times New Roman"/>
        </w:rPr>
        <w:t xml:space="preserve"> мощностей,</w:t>
      </w:r>
      <w:r>
        <w:rPr>
          <w:rFonts w:ascii="Times New Roman" w:hAnsi="Times New Roman" w:cs="Times New Roman"/>
        </w:rPr>
        <w:t xml:space="preserve"> создание новых предприятий. </w:t>
      </w:r>
      <w:bookmarkEnd w:id="3"/>
    </w:p>
    <w:p w:rsidR="00EF1DBC" w:rsidRDefault="00EF1DBC" w:rsidP="00EF1DBC">
      <w:pPr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t xml:space="preserve"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</w:t>
      </w:r>
      <w:r>
        <w:rPr>
          <w:rFonts w:ascii="Times New Roman" w:hAnsi="Times New Roman" w:cs="Times New Roman"/>
        </w:rPr>
        <w:t>хозяйствования, развитие малого и среднего бизнеса.</w:t>
      </w:r>
    </w:p>
    <w:p w:rsidR="003F17F0" w:rsidRDefault="003F17F0"/>
    <w:p w:rsidR="002D071C" w:rsidRDefault="002D071C"/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2146A0" w:rsidRDefault="002146A0" w:rsidP="002146A0"/>
    <w:p w:rsidR="00F767B4" w:rsidRDefault="00F767B4" w:rsidP="002146A0"/>
    <w:p w:rsidR="00F767B4" w:rsidRPr="002146A0" w:rsidRDefault="00F767B4" w:rsidP="002146A0"/>
    <w:p w:rsidR="00AB3EC5" w:rsidRDefault="00AB3EC5" w:rsidP="002D071C">
      <w:pPr>
        <w:pStyle w:val="1"/>
        <w:rPr>
          <w:rFonts w:ascii="Times New Roman" w:hAnsi="Times New Roman" w:cs="Times New Roman"/>
        </w:rPr>
      </w:pPr>
    </w:p>
    <w:p w:rsidR="002D071C" w:rsidRPr="007D113F" w:rsidRDefault="002D071C" w:rsidP="002D071C">
      <w:pPr>
        <w:pStyle w:val="1"/>
        <w:rPr>
          <w:rFonts w:ascii="Times New Roman" w:hAnsi="Times New Roman" w:cs="Times New Roman"/>
        </w:rPr>
      </w:pPr>
      <w:r w:rsidRPr="007D113F">
        <w:rPr>
          <w:rFonts w:ascii="Times New Roman" w:hAnsi="Times New Roman" w:cs="Times New Roman"/>
        </w:rPr>
        <w:lastRenderedPageBreak/>
        <w:t xml:space="preserve">Показатели </w:t>
      </w:r>
      <w:r w:rsidRPr="007D113F">
        <w:rPr>
          <w:rFonts w:ascii="Times New Roman" w:hAnsi="Times New Roman" w:cs="Times New Roman"/>
        </w:rPr>
        <w:br/>
      </w:r>
      <w:proofErr w:type="gramStart"/>
      <w:r w:rsidRPr="007D113F">
        <w:rPr>
          <w:rFonts w:ascii="Times New Roman" w:hAnsi="Times New Roman" w:cs="Times New Roman"/>
        </w:rPr>
        <w:t xml:space="preserve">результативности реализации Стратегии </w:t>
      </w:r>
      <w:r w:rsidRPr="007D113F">
        <w:rPr>
          <w:rFonts w:ascii="Times New Roman" w:hAnsi="Times New Roman" w:cs="Times New Roman"/>
        </w:rPr>
        <w:br/>
        <w:t xml:space="preserve">социально-экономического развития </w:t>
      </w:r>
      <w:r w:rsidRPr="007D113F">
        <w:rPr>
          <w:rFonts w:ascii="Times New Roman" w:hAnsi="Times New Roman" w:cs="Times New Roman"/>
        </w:rPr>
        <w:br/>
        <w:t>сельского поселения</w:t>
      </w:r>
      <w:proofErr w:type="gramEnd"/>
      <w:r w:rsidRPr="007D113F">
        <w:rPr>
          <w:rFonts w:ascii="Times New Roman" w:hAnsi="Times New Roman" w:cs="Times New Roman"/>
        </w:rPr>
        <w:t xml:space="preserve"> </w:t>
      </w:r>
      <w:r w:rsidR="002146A0">
        <w:rPr>
          <w:rFonts w:ascii="Times New Roman" w:hAnsi="Times New Roman" w:cs="Times New Roman"/>
        </w:rPr>
        <w:t xml:space="preserve"> Грачев</w:t>
      </w:r>
      <w:r>
        <w:rPr>
          <w:rFonts w:ascii="Times New Roman" w:hAnsi="Times New Roman" w:cs="Times New Roman"/>
        </w:rPr>
        <w:t>ский</w:t>
      </w:r>
      <w:r w:rsidR="002146A0">
        <w:rPr>
          <w:rFonts w:ascii="Times New Roman" w:hAnsi="Times New Roman" w:cs="Times New Roman"/>
        </w:rPr>
        <w:t xml:space="preserve"> сельсовет</w:t>
      </w:r>
      <w:r w:rsidRPr="007D113F">
        <w:rPr>
          <w:rFonts w:ascii="Times New Roman" w:hAnsi="Times New Roman" w:cs="Times New Roman"/>
        </w:rPr>
        <w:t xml:space="preserve"> </w:t>
      </w:r>
      <w:r w:rsidRPr="007D113F">
        <w:rPr>
          <w:rFonts w:ascii="Times New Roman" w:hAnsi="Times New Roman" w:cs="Times New Roman"/>
        </w:rPr>
        <w:br/>
        <w:t>Усманского  мун</w:t>
      </w:r>
      <w:r w:rsidR="00F55263">
        <w:rPr>
          <w:rFonts w:ascii="Times New Roman" w:hAnsi="Times New Roman" w:cs="Times New Roman"/>
        </w:rPr>
        <w:t>иципального района до 202</w:t>
      </w:r>
      <w:r w:rsidR="000D65BF">
        <w:rPr>
          <w:rFonts w:ascii="Times New Roman" w:hAnsi="Times New Roman" w:cs="Times New Roman"/>
        </w:rPr>
        <w:t>4</w:t>
      </w:r>
      <w:r w:rsidR="00F767B4">
        <w:rPr>
          <w:rFonts w:ascii="Times New Roman" w:hAnsi="Times New Roman" w:cs="Times New Roman"/>
        </w:rPr>
        <w:t xml:space="preserve"> года за </w:t>
      </w:r>
      <w:r w:rsidR="00371A28">
        <w:rPr>
          <w:rFonts w:ascii="Times New Roman" w:hAnsi="Times New Roman" w:cs="Times New Roman"/>
        </w:rPr>
        <w:t>20</w:t>
      </w:r>
      <w:r w:rsidR="00371A28" w:rsidRPr="00371A28">
        <w:rPr>
          <w:rFonts w:ascii="Times New Roman" w:hAnsi="Times New Roman" w:cs="Times New Roman"/>
        </w:rPr>
        <w:t>20</w:t>
      </w:r>
      <w:r w:rsidR="00F55263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8333" w:type="dxa"/>
        <w:tblLook w:val="01E0"/>
      </w:tblPr>
      <w:tblGrid>
        <w:gridCol w:w="773"/>
        <w:gridCol w:w="5160"/>
        <w:gridCol w:w="1258"/>
        <w:gridCol w:w="1142"/>
      </w:tblGrid>
      <w:tr w:rsidR="00AB3EC5" w:rsidRPr="007D113F" w:rsidTr="003E3777">
        <w:trPr>
          <w:gridAfter w:val="1"/>
          <w:wAfter w:w="1142" w:type="dxa"/>
          <w:trHeight w:val="276"/>
        </w:trPr>
        <w:tc>
          <w:tcPr>
            <w:tcW w:w="773" w:type="dxa"/>
            <w:vMerge w:val="restart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D113F">
              <w:rPr>
                <w:rFonts w:ascii="Times New Roman" w:hAnsi="Times New Roman" w:cs="Times New Roman"/>
              </w:rPr>
              <w:t>п</w:t>
            </w:r>
            <w:proofErr w:type="gramEnd"/>
            <w:r w:rsidRPr="007D11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60" w:type="dxa"/>
            <w:vMerge w:val="restart"/>
          </w:tcPr>
          <w:p w:rsidR="00AB3EC5" w:rsidRPr="007D113F" w:rsidRDefault="00AB3EC5" w:rsidP="00B05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58" w:type="dxa"/>
            <w:vMerge w:val="restart"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Ед.</w:t>
            </w:r>
          </w:p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  <w:r w:rsidRPr="007D113F">
              <w:rPr>
                <w:rFonts w:ascii="Times New Roman" w:hAnsi="Times New Roman" w:cs="Times New Roman"/>
              </w:rPr>
              <w:t>измер.</w:t>
            </w:r>
          </w:p>
        </w:tc>
      </w:tr>
      <w:tr w:rsidR="00AB3EC5" w:rsidRPr="007D113F" w:rsidTr="003E3777">
        <w:tc>
          <w:tcPr>
            <w:tcW w:w="773" w:type="dxa"/>
            <w:vMerge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</w:tcPr>
          <w:p w:rsidR="00AB3EC5" w:rsidRPr="007D113F" w:rsidRDefault="00AB3EC5" w:rsidP="00B0553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AB3EC5" w:rsidRPr="00371A28" w:rsidRDefault="00371A28" w:rsidP="00371A28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20</w:t>
            </w:r>
            <w:proofErr w:type="spellEnd"/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Создание рабочих мест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</w:tc>
        <w:tc>
          <w:tcPr>
            <w:tcW w:w="1142" w:type="dxa"/>
            <w:hideMark/>
          </w:tcPr>
          <w:p w:rsidR="003E3777" w:rsidRPr="00FE6B6F" w:rsidRDefault="00FE6B6F">
            <w:pPr>
              <w:ind w:firstLine="0"/>
              <w:jc w:val="center"/>
              <w:rPr>
                <w:rFonts w:ascii="Times New Roman" w:hAnsi="Times New Roman" w:cs="Times New Roman"/>
                <w:lang w:val="en-US" w:eastAsia="zh-TW"/>
              </w:rPr>
            </w:pPr>
            <w:r>
              <w:rPr>
                <w:rFonts w:ascii="Times New Roman" w:hAnsi="Times New Roman" w:cs="Times New Roman"/>
                <w:lang w:val="en-US" w:eastAsia="zh-TW"/>
              </w:rPr>
              <w:t>8</w:t>
            </w:r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привлеченных инвестиций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млн. руб</w:t>
            </w:r>
            <w:r w:rsidR="00470E45"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  <w:tc>
          <w:tcPr>
            <w:tcW w:w="1142" w:type="dxa"/>
            <w:hideMark/>
          </w:tcPr>
          <w:p w:rsidR="003E3777" w:rsidRDefault="00D31E06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0,8</w:t>
            </w:r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субъектов малого и среднего предпринимательства на начало года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</w:tc>
        <w:tc>
          <w:tcPr>
            <w:tcW w:w="1142" w:type="dxa"/>
          </w:tcPr>
          <w:p w:rsidR="003E3777" w:rsidRDefault="00D31E06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</w:t>
            </w:r>
            <w:r w:rsidR="008F4974">
              <w:rPr>
                <w:rFonts w:ascii="Times New Roman" w:hAnsi="Times New Roman" w:cs="Times New Roman"/>
                <w:lang w:eastAsia="zh-TW"/>
              </w:rPr>
              <w:t>5</w:t>
            </w:r>
          </w:p>
          <w:p w:rsidR="003E3777" w:rsidRDefault="003E3777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Среднемесячная заработная плата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руб.</w:t>
            </w:r>
          </w:p>
        </w:tc>
        <w:tc>
          <w:tcPr>
            <w:tcW w:w="1142" w:type="dxa"/>
            <w:hideMark/>
          </w:tcPr>
          <w:p w:rsidR="003E3777" w:rsidRPr="00FE6B6F" w:rsidRDefault="00FE6B6F">
            <w:pPr>
              <w:ind w:firstLine="0"/>
              <w:jc w:val="center"/>
              <w:rPr>
                <w:rFonts w:ascii="Times New Roman" w:hAnsi="Times New Roman" w:cs="Times New Roman"/>
                <w:lang w:val="en-US" w:eastAsia="zh-TW"/>
              </w:rPr>
            </w:pPr>
            <w:r>
              <w:rPr>
                <w:rFonts w:ascii="Times New Roman" w:hAnsi="Times New Roman" w:cs="Times New Roman"/>
                <w:lang w:val="en-US" w:eastAsia="zh-TW"/>
              </w:rPr>
              <w:t>28000</w:t>
            </w:r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Коэффициент рождаемости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чел./на 1000 человек населения</w:t>
            </w:r>
          </w:p>
        </w:tc>
        <w:tc>
          <w:tcPr>
            <w:tcW w:w="1142" w:type="dxa"/>
            <w:hideMark/>
          </w:tcPr>
          <w:p w:rsidR="003E3777" w:rsidRDefault="008F4974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8</w:t>
            </w:r>
            <w:r w:rsidR="00D31E06">
              <w:rPr>
                <w:rFonts w:ascii="Times New Roman" w:hAnsi="Times New Roman" w:cs="Times New Roman"/>
                <w:lang w:eastAsia="zh-TW"/>
              </w:rPr>
              <w:t>,6</w:t>
            </w:r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Коэффициент смертности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чел./на 1000 человек населения</w:t>
            </w:r>
          </w:p>
        </w:tc>
        <w:tc>
          <w:tcPr>
            <w:tcW w:w="1142" w:type="dxa"/>
            <w:hideMark/>
          </w:tcPr>
          <w:p w:rsidR="003E3777" w:rsidRDefault="008F4974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25,7</w:t>
            </w:r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42" w:type="dxa"/>
            <w:hideMark/>
          </w:tcPr>
          <w:p w:rsidR="003E3777" w:rsidRPr="00371A28" w:rsidRDefault="00371A28">
            <w:pPr>
              <w:ind w:firstLine="0"/>
              <w:jc w:val="center"/>
              <w:rPr>
                <w:rFonts w:ascii="Times New Roman" w:hAnsi="Times New Roman" w:cs="Times New Roman"/>
                <w:lang w:val="en-US" w:eastAsia="zh-TW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lang w:val="en-US" w:eastAsia="zh-TW"/>
              </w:rPr>
              <w:t>32</w:t>
            </w:r>
          </w:p>
        </w:tc>
      </w:tr>
      <w:tr w:rsidR="003E3777" w:rsidTr="003E3777">
        <w:tblPrEx>
          <w:tblLook w:val="04A0"/>
        </w:tblPrEx>
        <w:tc>
          <w:tcPr>
            <w:tcW w:w="773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160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Доля дорог с твердым покрытием</w:t>
            </w:r>
          </w:p>
        </w:tc>
        <w:tc>
          <w:tcPr>
            <w:tcW w:w="1258" w:type="dxa"/>
            <w:hideMark/>
          </w:tcPr>
          <w:p w:rsidR="003E3777" w:rsidRDefault="003E3777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42" w:type="dxa"/>
            <w:hideMark/>
          </w:tcPr>
          <w:p w:rsidR="003E3777" w:rsidRDefault="00470E45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8</w:t>
            </w:r>
            <w:r w:rsidR="00D31E06"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</w:tr>
    </w:tbl>
    <w:p w:rsidR="002D071C" w:rsidRDefault="002D071C"/>
    <w:sectPr w:rsidR="002D071C" w:rsidSect="00AB3E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980"/>
    <w:rsid w:val="00050513"/>
    <w:rsid w:val="000D65BF"/>
    <w:rsid w:val="001C0B81"/>
    <w:rsid w:val="002146A0"/>
    <w:rsid w:val="002D071C"/>
    <w:rsid w:val="00371A28"/>
    <w:rsid w:val="0037564D"/>
    <w:rsid w:val="003E3777"/>
    <w:rsid w:val="003F17F0"/>
    <w:rsid w:val="00470E45"/>
    <w:rsid w:val="00476FC2"/>
    <w:rsid w:val="00527911"/>
    <w:rsid w:val="005B2FDD"/>
    <w:rsid w:val="006429D3"/>
    <w:rsid w:val="007E6FA5"/>
    <w:rsid w:val="007F20A3"/>
    <w:rsid w:val="008000C7"/>
    <w:rsid w:val="0087474A"/>
    <w:rsid w:val="008F4974"/>
    <w:rsid w:val="00912E54"/>
    <w:rsid w:val="00A048C8"/>
    <w:rsid w:val="00A20A73"/>
    <w:rsid w:val="00AB3EC5"/>
    <w:rsid w:val="00B76082"/>
    <w:rsid w:val="00BC4FD5"/>
    <w:rsid w:val="00BD6AAA"/>
    <w:rsid w:val="00CA599A"/>
    <w:rsid w:val="00CD4B9A"/>
    <w:rsid w:val="00D31E06"/>
    <w:rsid w:val="00D85864"/>
    <w:rsid w:val="00DE10AB"/>
    <w:rsid w:val="00E00C08"/>
    <w:rsid w:val="00EC7980"/>
    <w:rsid w:val="00EF1DBC"/>
    <w:rsid w:val="00F10E2F"/>
    <w:rsid w:val="00F55263"/>
    <w:rsid w:val="00F746BA"/>
    <w:rsid w:val="00F767B4"/>
    <w:rsid w:val="00FE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B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2D07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32</cp:revision>
  <cp:lastPrinted>2020-04-03T08:17:00Z</cp:lastPrinted>
  <dcterms:created xsi:type="dcterms:W3CDTF">2018-06-01T08:02:00Z</dcterms:created>
  <dcterms:modified xsi:type="dcterms:W3CDTF">2021-04-20T07:54:00Z</dcterms:modified>
</cp:coreProperties>
</file>